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71211B" w:rsidRPr="0071211B" w14:paraId="5C6DD8B9" w14:textId="77777777" w:rsidTr="00736876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0761F86" w14:textId="77777777" w:rsidR="0071211B" w:rsidRPr="0071211B" w:rsidRDefault="0071211B" w:rsidP="0071211B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CB91AA6" wp14:editId="54402A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Imagine 5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0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EA405C3" w14:textId="77777777" w:rsidR="0071211B" w:rsidRPr="0071211B" w:rsidRDefault="0071211B" w:rsidP="0071211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</w:p>
          <w:p w14:paraId="157DD884" w14:textId="77777777" w:rsidR="0071211B" w:rsidRPr="0071211B" w:rsidRDefault="0071211B" w:rsidP="0071211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REPUBLICA  MOLDOVA</w:t>
            </w:r>
          </w:p>
          <w:p w14:paraId="17E80F28" w14:textId="77777777" w:rsidR="0071211B" w:rsidRPr="0071211B" w:rsidRDefault="0071211B" w:rsidP="0071211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RAIONUL ORHEI</w:t>
            </w:r>
          </w:p>
          <w:p w14:paraId="3C9A24C8" w14:textId="77777777" w:rsidR="0071211B" w:rsidRPr="0071211B" w:rsidRDefault="0071211B" w:rsidP="0071211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CONSILIUL COMUNAL STEP-SOCI</w:t>
            </w:r>
          </w:p>
          <w:p w14:paraId="0081EFCA" w14:textId="2EBA4836" w:rsidR="0071211B" w:rsidRDefault="0071211B" w:rsidP="007121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MD 35</w:t>
            </w:r>
            <w:r w:rsidR="00057ED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47</w:t>
            </w:r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, r. Orhei, </w:t>
            </w:r>
            <w:proofErr w:type="spellStart"/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s.Step</w:t>
            </w:r>
            <w:proofErr w:type="spellEnd"/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-Soci, Tel: +373  235 48210, 48236,</w:t>
            </w:r>
          </w:p>
          <w:p w14:paraId="6A607D83" w14:textId="69FAB1AA" w:rsidR="00057ED5" w:rsidRPr="0071211B" w:rsidRDefault="00057ED5" w:rsidP="007121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4A18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Cod fiscal   1007601001765</w:t>
            </w:r>
          </w:p>
          <w:p w14:paraId="13D8D7C6" w14:textId="02B2D5F2" w:rsidR="004A18E3" w:rsidRPr="00057ED5" w:rsidRDefault="0071211B" w:rsidP="00057E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e-mail: </w:t>
            </w:r>
            <w:hyperlink r:id="rId9" w:history="1">
              <w:r w:rsidRPr="007121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o-RO" w:eastAsia="en-US"/>
                </w:rPr>
                <w:t>primariastepsoci@mail.ru</w:t>
              </w:r>
            </w:hyperlink>
            <w:r w:rsidRPr="007121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    </w:t>
            </w:r>
            <w:hyperlink r:id="rId10" w:history="1">
              <w:r w:rsidR="004A18E3" w:rsidRPr="00641BB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ro-RO" w:eastAsia="en-US"/>
                </w:rPr>
                <w:t>http://www.stepsoci.comuna.md</w:t>
              </w:r>
            </w:hyperlink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0DA9409" w14:textId="77777777" w:rsidR="0071211B" w:rsidRPr="0071211B" w:rsidRDefault="0071211B" w:rsidP="0071211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71211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3CAB1BF5" wp14:editId="0B5C6D55">
                      <wp:extent cx="800100" cy="1143000"/>
                      <wp:effectExtent l="0" t="0" r="0" b="0"/>
                      <wp:docPr id="8" name="Полотно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F51AEA" id="Полотно 8" o:spid="_x0000_s1026" editas="canvas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P8yyYdsAAAAF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D202348" w14:textId="77777777" w:rsidR="0071211B" w:rsidRPr="00E115AC" w:rsidRDefault="0071211B" w:rsidP="0071211B">
      <w:pPr>
        <w:tabs>
          <w:tab w:val="left" w:pos="708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54F68EB2" w14:textId="40CA2B26" w:rsidR="0071211B" w:rsidRPr="00E115AC" w:rsidRDefault="004A18E3" w:rsidP="002A3F2E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PROIECT DE </w:t>
      </w:r>
      <w:r w:rsidR="0071211B" w:rsidRPr="00E115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DECIZIE </w:t>
      </w:r>
      <w:r w:rsidR="007F57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nr.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8.</w:t>
      </w:r>
      <w:r w:rsidR="00445D2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_</w:t>
      </w:r>
      <w:proofErr w:type="gramEnd"/>
      <w:r w:rsidR="00445D2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__</w:t>
      </w:r>
    </w:p>
    <w:p w14:paraId="11CD2127" w14:textId="451B0D47" w:rsidR="0071211B" w:rsidRPr="002A3F2E" w:rsidRDefault="00445D2B" w:rsidP="002A3F2E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</w:t>
      </w:r>
      <w:r w:rsidR="007F57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  ___</w:t>
      </w:r>
      <w:r w:rsidR="00057ED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.</w:t>
      </w:r>
      <w:r w:rsidR="004A18E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12.2021</w:t>
      </w:r>
    </w:p>
    <w:p w14:paraId="057D8A85" w14:textId="77777777" w:rsidR="0071211B" w:rsidRPr="002A3F2E" w:rsidRDefault="00075C7D" w:rsidP="002A3F2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986600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stabilirea</w:t>
      </w:r>
      <w:proofErr w:type="spellEnd"/>
      <w:r w:rsidR="00986600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86600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cotelor</w:t>
      </w:r>
      <w:proofErr w:type="spellEnd"/>
      <w:r w:rsidR="00986600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</w:p>
    <w:p w14:paraId="3C37D061" w14:textId="77777777" w:rsidR="0071211B" w:rsidRPr="002A3F2E" w:rsidRDefault="00986600" w:rsidP="002A3F2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im</w:t>
      </w:r>
      <w:r w:rsidR="0071211B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pozitului</w:t>
      </w:r>
      <w:proofErr w:type="spellEnd"/>
      <w:r w:rsidR="0071211B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pe </w:t>
      </w:r>
      <w:proofErr w:type="spellStart"/>
      <w:r w:rsidR="0071211B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bunurile</w:t>
      </w:r>
      <w:proofErr w:type="spellEnd"/>
      <w:r w:rsidR="0071211B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1211B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imobiliare</w:t>
      </w:r>
      <w:proofErr w:type="spellEnd"/>
    </w:p>
    <w:p w14:paraId="4441FEB1" w14:textId="2448444B" w:rsidR="0071211B" w:rsidRPr="002A3F2E" w:rsidRDefault="00986600" w:rsidP="002A3F2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și impozitul funciar </w:t>
      </w:r>
      <w:r w:rsidR="007F578C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F578C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="007F578C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F578C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 w:rsidR="007F578C" w:rsidRPr="002A3F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202</w:t>
      </w:r>
      <w:r w:rsidR="004A18E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</w:t>
      </w:r>
      <w:bookmarkStart w:id="0" w:name="_GoBack"/>
      <w:bookmarkEnd w:id="0"/>
    </w:p>
    <w:p w14:paraId="32D4A3E5" w14:textId="77777777" w:rsidR="00B83201" w:rsidRPr="00E115AC" w:rsidRDefault="00075C7D" w:rsidP="002A3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22A048A2" w14:textId="7D089BF0" w:rsidR="00B83201" w:rsidRPr="00E115AC" w:rsidRDefault="00075C7D" w:rsidP="002A3F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1A38DD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    </w:t>
      </w:r>
      <w:r w:rsidR="0071211B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În temeiul </w:t>
      </w:r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art.14 alin.2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11B" w:rsidRPr="00E115AC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nr. 436/2006,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11B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conformitate cu t</w:t>
      </w:r>
      <w:r w:rsidR="00986600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itlul VI </w:t>
      </w:r>
      <w:r w:rsidR="0071211B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al </w:t>
      </w:r>
      <w:r w:rsidR="001A38DD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Codul</w:t>
      </w:r>
      <w:r w:rsidR="0071211B" w:rsidRPr="00E115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ui Fiscal aprobat prin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nr.ll</w:t>
      </w:r>
      <w:proofErr w:type="gram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E532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A3F2E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punere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VI din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Fiscal nr.1056/2000 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conform art.32 </w:t>
      </w:r>
      <w:proofErr w:type="spellStart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4E532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>.b</w:t>
      </w:r>
      <w:proofErr w:type="spellEnd"/>
      <w:r w:rsidR="0071211B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332A63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2A63" w:rsidRPr="00E115AC"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anţe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responsabilităţilor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bu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getar-fiscale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nr. 181/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2014;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lo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cale nr.397/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2003;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datoria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garanţiile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recreditar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de stat nr. 419/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2006,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986600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2A3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F2E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2A3F2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0F2A6B" w14:textId="77777777" w:rsidR="001A38DD" w:rsidRPr="002A3F2E" w:rsidRDefault="00E115AC" w:rsidP="002A3F2E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r w:rsidRPr="00E115AC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Consiliul comunal DECIDE:</w:t>
      </w:r>
    </w:p>
    <w:p w14:paraId="32DB3439" w14:textId="435F9891" w:rsidR="00986600" w:rsidRPr="004A18E3" w:rsidRDefault="00986600" w:rsidP="002A3F2E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impozitare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im</w:t>
      </w:r>
      <w:r w:rsidR="007F578C">
        <w:rPr>
          <w:rFonts w:ascii="Times New Roman" w:hAnsi="Times New Roman" w:cs="Times New Roman"/>
          <w:sz w:val="24"/>
          <w:szCs w:val="24"/>
          <w:lang w:val="en-US"/>
        </w:rPr>
        <w:t>pozitul</w:t>
      </w:r>
      <w:proofErr w:type="spellEnd"/>
      <w:r w:rsidR="007F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78C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="007F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7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F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7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F578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4A18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5AC"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nr.1 </w:t>
      </w:r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115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6CC0E7" w14:textId="5B4969F1" w:rsidR="004A18E3" w:rsidRPr="002A3F2E" w:rsidRDefault="004A18E3" w:rsidP="002A3F2E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2022.</w:t>
      </w:r>
    </w:p>
    <w:p w14:paraId="2ABE1CE2" w14:textId="034B02B1" w:rsidR="001A38DD" w:rsidRPr="004A18E3" w:rsidRDefault="00986600" w:rsidP="002A3F2E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revine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Step-</w:t>
      </w:r>
      <w:proofErr w:type="spellStart"/>
      <w:proofErr w:type="gramStart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Soci</w:t>
      </w:r>
      <w:proofErr w:type="spellEnd"/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F57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78C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proofErr w:type="gramEnd"/>
      <w:r w:rsidR="00E115AC"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5AC"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>Josan</w:t>
      </w:r>
      <w:proofErr w:type="spellEnd"/>
      <w:r w:rsidR="00E115AC"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Svetlana</w:t>
      </w:r>
      <w:r w:rsidRPr="00E115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A66D0E8" w14:textId="77777777" w:rsidR="001A38DD" w:rsidRPr="00E115AC" w:rsidRDefault="001A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694713" w14:textId="09BA667A" w:rsidR="00C717E5" w:rsidRPr="008C574F" w:rsidRDefault="00C717E5" w:rsidP="00C7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 xml:space="preserve">Au </w:t>
      </w:r>
      <w:proofErr w:type="spellStart"/>
      <w:proofErr w:type="gramStart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>votat</w:t>
      </w:r>
      <w:proofErr w:type="spellEnd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 xml:space="preserve"> :</w:t>
      </w:r>
      <w:proofErr w:type="gramEnd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>Pentru</w:t>
      </w:r>
      <w:proofErr w:type="spellEnd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 xml:space="preserve"> –, </w:t>
      </w:r>
      <w:proofErr w:type="spellStart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>Abținut</w:t>
      </w:r>
      <w:proofErr w:type="spellEnd"/>
      <w:r w:rsidRPr="008C574F">
        <w:rPr>
          <w:rFonts w:ascii="Times New Roman" w:eastAsia="Times New Roman" w:hAnsi="Times New Roman" w:cs="Times New Roman"/>
          <w:b/>
          <w:sz w:val="24"/>
          <w:lang w:val="en-US"/>
        </w:rPr>
        <w:t xml:space="preserve"> -, Contra –.</w:t>
      </w:r>
    </w:p>
    <w:p w14:paraId="22D861DF" w14:textId="77777777" w:rsidR="00C717E5" w:rsidRPr="00C31229" w:rsidRDefault="00C717E5" w:rsidP="00C717E5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14:paraId="622F63CE" w14:textId="4EFA0021" w:rsidR="00C717E5" w:rsidRPr="00C31229" w:rsidRDefault="00C717E5" w:rsidP="00C717E5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proofErr w:type="spellStart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Președintele</w:t>
      </w:r>
      <w:proofErr w:type="spellEnd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ședinței</w:t>
      </w:r>
      <w:proofErr w:type="spellEnd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       </w:t>
      </w:r>
    </w:p>
    <w:p w14:paraId="4F14ADBA" w14:textId="77777777" w:rsidR="00C717E5" w:rsidRDefault="00C717E5" w:rsidP="00C717E5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  <w:proofErr w:type="spellStart"/>
      <w:r w:rsidRPr="00C31229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>Semnat</w:t>
      </w:r>
      <w:proofErr w:type="spellEnd"/>
      <w:r w:rsidRPr="00C31229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14:paraId="675994E1" w14:textId="77777777" w:rsidR="002A3F2E" w:rsidRPr="00C31229" w:rsidRDefault="002A3F2E" w:rsidP="00C717E5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14:paraId="72B1738C" w14:textId="77777777" w:rsidR="00C717E5" w:rsidRPr="00C31229" w:rsidRDefault="00C717E5" w:rsidP="00C717E5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proofErr w:type="spellStart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Secretar</w:t>
      </w:r>
      <w:proofErr w:type="spellEnd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al </w:t>
      </w:r>
      <w:proofErr w:type="spellStart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consiliului</w:t>
      </w:r>
      <w:proofErr w:type="spellEnd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PETCU </w:t>
      </w:r>
      <w:proofErr w:type="spellStart"/>
      <w:r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Alla</w:t>
      </w:r>
      <w:proofErr w:type="spellEnd"/>
    </w:p>
    <w:p w14:paraId="1CAAACB6" w14:textId="77777777" w:rsidR="001A38DD" w:rsidRPr="00E115AC" w:rsidRDefault="001A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B0767E" w14:textId="77777777" w:rsidR="001A38DD" w:rsidRPr="00E115AC" w:rsidRDefault="001A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BE9857" w14:textId="77777777" w:rsidR="00E115AC" w:rsidRDefault="00E115AC" w:rsidP="002A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E70FE8" w14:textId="77777777" w:rsidR="002A3F2E" w:rsidRPr="00E115AC" w:rsidRDefault="002A3F2E" w:rsidP="002A3F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14:paraId="2B5A0A01" w14:textId="77777777" w:rsidR="00E115AC" w:rsidRPr="00E115AC" w:rsidRDefault="00E115AC" w:rsidP="004526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14:paraId="383E9038" w14:textId="77777777" w:rsidR="00E115AC" w:rsidRDefault="00E115AC" w:rsidP="002B60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14:paraId="532F959A" w14:textId="77777777" w:rsidR="002A3F2E" w:rsidRDefault="002A3F2E" w:rsidP="002B60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14:paraId="638B05F1" w14:textId="77777777" w:rsidR="002A3F2E" w:rsidRPr="00E115AC" w:rsidRDefault="002A3F2E" w:rsidP="002B60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14:paraId="676FD5F3" w14:textId="77777777" w:rsidR="0045269F" w:rsidRPr="002A3F2E" w:rsidRDefault="0045269F" w:rsidP="002B60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</w:pPr>
      <w:r w:rsidRP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lastRenderedPageBreak/>
        <w:t xml:space="preserve">Anexă </w:t>
      </w:r>
      <w:r w:rsidRP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la decizia Consiliului comunal Step-Soci</w:t>
      </w:r>
    </w:p>
    <w:p w14:paraId="486FBE97" w14:textId="0F026580" w:rsidR="0045269F" w:rsidRPr="002A3F2E" w:rsidRDefault="0045269F" w:rsidP="002B60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FFFF"/>
          <w:sz w:val="20"/>
          <w:szCs w:val="20"/>
          <w:u w:val="single"/>
          <w:lang w:val="ro-RO" w:eastAsia="en-US"/>
        </w:rPr>
      </w:pPr>
      <w:r w:rsidRP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 xml:space="preserve">                                                                                  </w:t>
      </w:r>
      <w:r w:rsidR="007F578C" w:rsidRP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 xml:space="preserve">                           nr. </w:t>
      </w:r>
      <w:r w:rsidR="004A18E3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>8</w:t>
      </w:r>
      <w:r w:rsidR="00057ED5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>.3</w:t>
      </w:r>
      <w:r w:rsid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 xml:space="preserve"> </w:t>
      </w:r>
      <w:r w:rsidR="007F578C" w:rsidRPr="002A3F2E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 xml:space="preserve">din </w:t>
      </w:r>
      <w:r w:rsidR="00445D2B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>__</w:t>
      </w:r>
      <w:r w:rsidR="00057ED5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>.</w:t>
      </w:r>
      <w:r w:rsidR="004A18E3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en-US"/>
        </w:rPr>
        <w:t>12.2021</w:t>
      </w:r>
      <w:r w:rsidRPr="002A3F2E">
        <w:rPr>
          <w:rFonts w:ascii="Times New Roman" w:eastAsia="Times New Roman" w:hAnsi="Times New Roman" w:cs="Times New Roman"/>
          <w:b/>
          <w:i/>
          <w:color w:val="FFFFFF"/>
          <w:sz w:val="20"/>
          <w:szCs w:val="20"/>
          <w:u w:val="single"/>
          <w:lang w:val="ro-RO" w:eastAsia="en-US"/>
        </w:rPr>
        <w:t xml:space="preserve"> </w:t>
      </w:r>
    </w:p>
    <w:p w14:paraId="01EF959B" w14:textId="77777777" w:rsidR="0045269F" w:rsidRPr="00E115AC" w:rsidRDefault="0045269F" w:rsidP="002B609F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4"/>
          <w:szCs w:val="24"/>
          <w:u w:val="single"/>
          <w:lang w:val="ro-RO" w:eastAsia="en-US"/>
        </w:rPr>
      </w:pPr>
    </w:p>
    <w:p w14:paraId="5F4AFA41" w14:textId="77777777" w:rsidR="0045269F" w:rsidRPr="00E115AC" w:rsidRDefault="004526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115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Cotele concrete la impozitul pe bunurile imobiliare</w:t>
      </w:r>
    </w:p>
    <w:p w14:paraId="5A6F6A21" w14:textId="77777777" w:rsidR="0045269F" w:rsidRPr="00E115AC" w:rsidRDefault="004526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115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115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E115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impozitul funciar pentru anul </w:t>
      </w:r>
      <w:r w:rsidR="002A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</w:t>
      </w:r>
    </w:p>
    <w:tbl>
      <w:tblPr>
        <w:tblpPr w:leftFromText="180" w:rightFromText="180" w:bottomFromText="160" w:vertAnchor="text" w:horzAnchor="margin" w:tblpX="-109" w:tblpY="2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202"/>
        <w:gridCol w:w="1560"/>
      </w:tblGrid>
      <w:tr w:rsidR="0045269F" w:rsidRPr="00E115AC" w14:paraId="4165B2EB" w14:textId="77777777" w:rsidTr="00E115AC">
        <w:trPr>
          <w:cantSplit/>
          <w:trHeight w:val="6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4EA6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2E43" w14:textId="77777777" w:rsidR="0045269F" w:rsidRPr="00E115AC" w:rsidRDefault="0045269F" w:rsidP="00E115AC">
            <w:pPr>
              <w:tabs>
                <w:tab w:val="left" w:pos="255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Obiectele impunerii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B933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Cotele concrete</w:t>
            </w:r>
          </w:p>
        </w:tc>
      </w:tr>
      <w:tr w:rsidR="0045269F" w:rsidRPr="00445D2B" w14:paraId="1C00E37C" w14:textId="77777777" w:rsidTr="00E115AC">
        <w:trPr>
          <w:trHeight w:val="7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AF98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4C55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Cotele concrete la impozitul pe bunurile imobiliare </w:t>
            </w:r>
          </w:p>
          <w:p w14:paraId="3BFB4B4C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bunurile imobiliare evaluate de către organele cadastrale în scopul impozitării</w:t>
            </w:r>
          </w:p>
          <w:p w14:paraId="32846419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 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conform art. 280 din titlul VI al Codului fiscal</w:t>
            </w:r>
            <w:r w:rsidR="00E115AC"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45269F" w:rsidRPr="00E115AC" w14:paraId="4CBEAEE0" w14:textId="77777777" w:rsidTr="00E115AC">
        <w:trPr>
          <w:trHeight w:val="4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BB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AFF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Bunurile imobiliare, inclusiv: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2A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5269F" w:rsidRPr="00E115AC" w14:paraId="46D9CA52" w14:textId="77777777" w:rsidTr="00E115AC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AD47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57D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 destinație locativă (apartamente și case de locuit individuale terenuri aferente acestor bunuri);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5474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0,1%</w:t>
            </w:r>
          </w:p>
        </w:tc>
      </w:tr>
      <w:tr w:rsidR="0045269F" w:rsidRPr="00E115AC" w14:paraId="2BEC208A" w14:textId="77777777" w:rsidTr="00E115AC">
        <w:trPr>
          <w:trHeight w:val="5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800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CDC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garajele și terenurile pe care acestea sunt amplasate;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4F7D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0,1 %</w:t>
            </w:r>
          </w:p>
        </w:tc>
      </w:tr>
      <w:tr w:rsidR="0045269F" w:rsidRPr="00E115AC" w14:paraId="7C4F2960" w14:textId="77777777" w:rsidTr="00E115AC">
        <w:trPr>
          <w:trHeight w:val="5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1578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4D1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loturile întovărășirilor pomicole cu sau fără construcții amplasate pe ele.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996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0,1%</w:t>
            </w:r>
          </w:p>
        </w:tc>
      </w:tr>
      <w:tr w:rsidR="0045269F" w:rsidRPr="00E115AC" w14:paraId="053DDA27" w14:textId="77777777" w:rsidTr="00E115AC">
        <w:trPr>
          <w:trHeight w:val="55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53D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5BB7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Terenurile agricole cu construcții amplasate pe 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3194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0,3%</w:t>
            </w:r>
          </w:p>
        </w:tc>
      </w:tr>
      <w:tr w:rsidR="0045269F" w:rsidRPr="00E115AC" w14:paraId="1BB77F8D" w14:textId="77777777" w:rsidTr="00E115AC">
        <w:trPr>
          <w:trHeight w:val="99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C66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857C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Bunurile imobiliare cu altă destinație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cea locativă sau agricolă, inclusiv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exceptînd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9A2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0,3%</w:t>
            </w:r>
          </w:p>
        </w:tc>
      </w:tr>
      <w:tr w:rsidR="0045269F" w:rsidRPr="00445D2B" w14:paraId="6B030747" w14:textId="77777777" w:rsidTr="00E115AC">
        <w:trPr>
          <w:trHeight w:val="29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F393" w14:textId="77777777" w:rsidR="0045269F" w:rsidRPr="00E115AC" w:rsidRDefault="0045269F" w:rsidP="00E11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46CF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Cotele concrete la impozitul funciar </w:t>
            </w:r>
          </w:p>
          <w:p w14:paraId="2FA66F6F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terenurile neevaluate de către organele cadastrale în scopul impozitării</w:t>
            </w:r>
          </w:p>
          <w:p w14:paraId="1F0DAF19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(conform  Anexei nr. 1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la Legea pentru punerea în aplicare a titlului VI din Codul fiscal nr.1056 din 16.06.2000)</w:t>
            </w:r>
          </w:p>
        </w:tc>
      </w:tr>
      <w:tr w:rsidR="0045269F" w:rsidRPr="00E115AC" w14:paraId="3D3272EC" w14:textId="77777777" w:rsidTr="00E115AC">
        <w:trPr>
          <w:trHeight w:val="110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DA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  <w:p w14:paraId="6F5300B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2400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Terenurile cu destinație agricolă:</w:t>
            </w:r>
          </w:p>
          <w:p w14:paraId="1D2504C5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1) toate terenurile, altele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destinate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fînețelor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pășunilor:</w:t>
            </w:r>
          </w:p>
          <w:p w14:paraId="3034BB34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 au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indici cadastrali</w:t>
            </w:r>
          </w:p>
          <w:p w14:paraId="71FE9839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6D8" w14:textId="77777777" w:rsidR="0045269F" w:rsidRPr="00E115AC" w:rsidRDefault="0045269F" w:rsidP="00E115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1CD6B4B" w14:textId="77777777" w:rsidR="0045269F" w:rsidRPr="00E115AC" w:rsidRDefault="0045269F" w:rsidP="00E115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1.50 lei </w:t>
            </w:r>
          </w:p>
          <w:p w14:paraId="4099C229" w14:textId="77777777" w:rsidR="0045269F" w:rsidRPr="00E115AC" w:rsidRDefault="0045269F" w:rsidP="00E115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grad/ha</w:t>
            </w:r>
          </w:p>
          <w:p w14:paraId="65BA754A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110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leiha</w:t>
            </w:r>
            <w:proofErr w:type="spellEnd"/>
          </w:p>
        </w:tc>
      </w:tr>
      <w:tr w:rsidR="0045269F" w:rsidRPr="00E115AC" w14:paraId="37F20BA3" w14:textId="77777777" w:rsidTr="00E115A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5CF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0A60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FF76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5269F" w:rsidRPr="00E115AC" w14:paraId="30629B91" w14:textId="77777777" w:rsidTr="00E115AC">
        <w:trPr>
          <w:trHeight w:val="7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47C7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75C8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2) Terenurile destinate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fînețelor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pășunilor:</w:t>
            </w:r>
          </w:p>
          <w:p w14:paraId="1EA6675B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 au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indici cadastrali</w:t>
            </w:r>
          </w:p>
          <w:p w14:paraId="70D7BE89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B9E" w14:textId="77777777" w:rsidR="0045269F" w:rsidRPr="00E115AC" w:rsidRDefault="0045269F" w:rsidP="00E115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0,75 lei /</w:t>
            </w:r>
          </w:p>
          <w:p w14:paraId="10541AF8" w14:textId="77777777" w:rsidR="0045269F" w:rsidRPr="00E115AC" w:rsidRDefault="0045269F" w:rsidP="00E115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grad/ha</w:t>
            </w:r>
          </w:p>
          <w:p w14:paraId="059B42E9" w14:textId="77777777" w:rsidR="0045269F" w:rsidRPr="00E115AC" w:rsidRDefault="00D21232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55,0 ha</w:t>
            </w:r>
          </w:p>
        </w:tc>
      </w:tr>
      <w:tr w:rsidR="0045269F" w:rsidRPr="00E115AC" w14:paraId="784DABFA" w14:textId="77777777" w:rsidTr="00E115AC">
        <w:trPr>
          <w:trHeight w:val="26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E8FC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E730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D58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45269F" w:rsidRPr="00E115AC" w14:paraId="10DEE2A0" w14:textId="77777777" w:rsidTr="00E115AC">
        <w:trPr>
          <w:trHeight w:val="5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9366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9A60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3) Terenurile ocupate de obiecte acvatice (iazuri, lacuri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B6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115 lei/ha</w:t>
            </w:r>
          </w:p>
        </w:tc>
      </w:tr>
      <w:tr w:rsidR="0045269F" w:rsidRPr="00E115AC" w14:paraId="565210D7" w14:textId="77777777" w:rsidTr="00E115AC">
        <w:trPr>
          <w:trHeight w:val="123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C1AE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1AD5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Terenurile din intravilan, inclusiv:</w:t>
            </w:r>
          </w:p>
          <w:p w14:paraId="74E1496C" w14:textId="77777777" w:rsidR="0045269F" w:rsidRPr="00E115AC" w:rsidRDefault="0045269F" w:rsidP="00E115A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terenurile pe care sunt amplasate fondul de locuințe, loturi de pe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lîngă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domiciliu (inclusiv terenurile atribuite de către autoritățile publice locale ca loturi de pe lingă domiciliu și distribuite în extravilan, din cauza insuficienței de terenuri în intravilan 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(grădini)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14:paraId="01CAB198" w14:textId="77777777" w:rsidR="0045269F" w:rsidRPr="00E115AC" w:rsidRDefault="0045269F" w:rsidP="00E115A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localitățile rurale;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C359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leu /100m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45269F" w:rsidRPr="00E115AC" w14:paraId="619F6B9D" w14:textId="77777777" w:rsidTr="00E115AC">
        <w:trPr>
          <w:trHeight w:val="6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AFA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7E9C" w14:textId="77777777" w:rsidR="0045269F" w:rsidRPr="00E115AC" w:rsidRDefault="0045269F" w:rsidP="00E115A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terenurile atribuite de către autoritatea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administraţiei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publice locale ca loturi de pe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lîngă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domiciliu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distribuite în extravilan din cauza insuficienței de terenuri în intravilan, neevaluate de către organele cadastrale teritoriale conform valorii estimate 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(grădini):</w:t>
            </w:r>
          </w:p>
          <w:p w14:paraId="7C8B260C" w14:textId="77777777" w:rsidR="0045269F" w:rsidRPr="00E115AC" w:rsidRDefault="0045269F" w:rsidP="00E115A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oraşe</w:t>
            </w:r>
            <w:proofErr w:type="spellEnd"/>
          </w:p>
          <w:p w14:paraId="013F9279" w14:textId="77777777" w:rsidR="0045269F" w:rsidRPr="00E115AC" w:rsidRDefault="0045269F" w:rsidP="00E115A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municipii,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oraşe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-rezidente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606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45269F" w:rsidRPr="00E115AC" w14:paraId="5CFB91C2" w14:textId="77777777" w:rsidTr="00E115AC">
        <w:trPr>
          <w:trHeight w:val="62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5FF2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8EB3" w14:textId="77777777" w:rsidR="0045269F" w:rsidRPr="00E115AC" w:rsidRDefault="0045269F" w:rsidP="00E115A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terenurile destinate întreprinderilor agricole, alte terenuri neevaluate de către organele cadastrale teritoriale conform valorii estimate.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1CF4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 lei / 100m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45269F" w:rsidRPr="00E115AC" w14:paraId="15A7EC58" w14:textId="77777777" w:rsidTr="00E115AC">
        <w:trPr>
          <w:trHeight w:val="139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681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  <w:p w14:paraId="1EE77357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873B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Terenurile din extravilan, inclusiv:</w:t>
            </w:r>
          </w:p>
          <w:p w14:paraId="3690A5DF" w14:textId="77777777" w:rsidR="0045269F" w:rsidRPr="00E115AC" w:rsidRDefault="0045269F" w:rsidP="00E115A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terenurile pe care sunt amplasate clădiri și construcții, carierele și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pămînturile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distruse în urma activității de producție, neevaluate de către organele cadastrale teritoriale  conform valorii estimate;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1C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2746088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350 lei/ha</w:t>
            </w:r>
          </w:p>
        </w:tc>
      </w:tr>
      <w:tr w:rsidR="0045269F" w:rsidRPr="00E115AC" w14:paraId="2B9A4124" w14:textId="77777777" w:rsidTr="00E115AC">
        <w:trPr>
          <w:trHeight w:val="69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284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4C8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2) terenurile altele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specificate la alin. 1), neevaluate de către organele cadastrale teritoriale conform valorii estimate.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DCE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70 lei/ha</w:t>
            </w:r>
          </w:p>
        </w:tc>
      </w:tr>
      <w:tr w:rsidR="0045269F" w:rsidRPr="00445D2B" w14:paraId="0A7CE034" w14:textId="77777777" w:rsidTr="00E115AC">
        <w:trPr>
          <w:trHeight w:val="917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6F9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14:paraId="4260E094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clădirile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construcţiile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casele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locuit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individuale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apartamentele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alte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încăperi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izolate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inclusiv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aflate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la o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etapă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finisare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construcţiei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50%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mult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rămase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nefinisate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timp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3 ani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după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începutul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lucrărilor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construcţie</w:t>
            </w:r>
            <w:proofErr w:type="spellEnd"/>
          </w:p>
          <w:p w14:paraId="19946A9B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neevaluate de către organele cadastrale în scopul impozitării</w:t>
            </w:r>
          </w:p>
          <w:p w14:paraId="6DCA71CE" w14:textId="77777777" w:rsidR="0045269F" w:rsidRPr="00E115AC" w:rsidRDefault="0045269F" w:rsidP="00E115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45269F" w:rsidRPr="00E115AC" w14:paraId="55E6383E" w14:textId="77777777" w:rsidTr="00E115AC">
        <w:trPr>
          <w:trHeight w:val="123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E1CF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7E0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clădirile și construcțiile cu destinație agricolă,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garajele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construcţiile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loturilor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întovărăşirilor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pomicole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neevaluate de către organele cadastrale teritoriale conform valorii estimate, inclusiv:</w:t>
            </w:r>
          </w:p>
          <w:p w14:paraId="0C7091A7" w14:textId="77777777" w:rsidR="0045269F" w:rsidRPr="00E115AC" w:rsidRDefault="0045269F" w:rsidP="00E115AC">
            <w:pPr>
              <w:numPr>
                <w:ilvl w:val="0"/>
                <w:numId w:val="7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persoanele juridice și fizice care desfășoară activitate de întreprinzător;</w:t>
            </w:r>
          </w:p>
          <w:p w14:paraId="55906CC3" w14:textId="77777777" w:rsidR="0045269F" w:rsidRPr="00E115AC" w:rsidRDefault="0045269F" w:rsidP="00E115AC">
            <w:pPr>
              <w:numPr>
                <w:ilvl w:val="0"/>
                <w:numId w:val="7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persoanele fizice, altele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specificate la lit. a).</w:t>
            </w: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E6B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C97DFBA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96EA68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4F77F94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0,1%</w:t>
            </w:r>
          </w:p>
        </w:tc>
      </w:tr>
      <w:tr w:rsidR="0045269F" w:rsidRPr="00E115AC" w14:paraId="3EE6E1AD" w14:textId="77777777" w:rsidTr="00E115AC">
        <w:trPr>
          <w:trHeight w:val="3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684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78B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976B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0,1%</w:t>
            </w:r>
          </w:p>
        </w:tc>
      </w:tr>
      <w:tr w:rsidR="0045269F" w:rsidRPr="00E115AC" w14:paraId="65E7FD7C" w14:textId="77777777" w:rsidTr="00E115AC">
        <w:trPr>
          <w:trHeight w:val="117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82CA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A29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bunurile imobiliare, alte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specificate în pct. 9 și pct.11, neevaluate de către organele cadastrale teritoriale conform valorii estimate, inclusiv:</w:t>
            </w:r>
          </w:p>
          <w:p w14:paraId="5743EB5F" w14:textId="77777777" w:rsidR="0045269F" w:rsidRPr="00E115AC" w:rsidRDefault="0045269F" w:rsidP="00E115AC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persoanele juridice și fizice care desfășoară activitate de întreprinzător;</w:t>
            </w:r>
          </w:p>
          <w:p w14:paraId="63A98BAD" w14:textId="77777777" w:rsidR="0045269F" w:rsidRPr="00E115AC" w:rsidRDefault="0045269F" w:rsidP="00E115AC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persoanele fizice, altele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specificate la lit. a).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8D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A265F4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42E32DB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B61E702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0,3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%</w:t>
            </w:r>
          </w:p>
        </w:tc>
      </w:tr>
      <w:tr w:rsidR="0045269F" w:rsidRPr="00E115AC" w14:paraId="541A862F" w14:textId="77777777" w:rsidTr="00E115AC">
        <w:trPr>
          <w:trHeight w:val="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5C03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A06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517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0,3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%</w:t>
            </w:r>
          </w:p>
        </w:tc>
      </w:tr>
      <w:tr w:rsidR="0045269F" w:rsidRPr="00E115AC" w14:paraId="72B723A1" w14:textId="77777777" w:rsidTr="00E115AC">
        <w:trPr>
          <w:trHeight w:val="90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96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45E3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Bunurile imobiliare cu destinație locativă (apartamente și case de locuit individuale) din localitățile rurale se stabilesc după cum urmează:</w:t>
            </w:r>
          </w:p>
          <w:p w14:paraId="2EC2BFCD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 pentru persoanele juridice și fizice care desfășoară activitate de întreprinzător;</w:t>
            </w:r>
          </w:p>
          <w:p w14:paraId="0044E702" w14:textId="77777777" w:rsidR="0045269F" w:rsidRPr="00E115AC" w:rsidRDefault="0045269F" w:rsidP="00E115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b) persoanele fizice, altele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cele specificate la lit. 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D2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7641EBE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FC28D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0,1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%</w:t>
            </w:r>
          </w:p>
        </w:tc>
      </w:tr>
      <w:tr w:rsidR="0045269F" w:rsidRPr="00E115AC" w14:paraId="1AA24163" w14:textId="77777777" w:rsidTr="00E115AC">
        <w:trPr>
          <w:trHeight w:val="40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6CA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F499" w14:textId="77777777" w:rsidR="0045269F" w:rsidRPr="00E115AC" w:rsidRDefault="0045269F" w:rsidP="00E1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7D1A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0,1</w:t>
            </w:r>
            <w:r w:rsidRPr="00E11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%</w:t>
            </w:r>
          </w:p>
        </w:tc>
      </w:tr>
      <w:tr w:rsidR="0045269F" w:rsidRPr="00445D2B" w14:paraId="7F3C1F69" w14:textId="77777777" w:rsidTr="00E115AC">
        <w:trPr>
          <w:trHeight w:val="2527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3EDE" w14:textId="77777777" w:rsidR="0045269F" w:rsidRPr="00E115AC" w:rsidRDefault="0045269F" w:rsidP="00E115AC">
            <w:pPr>
              <w:spacing w:after="0" w:line="256" w:lineRule="auto"/>
              <w:ind w:firstLine="5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Nota: În cazurile în care suprafața totală a locuințelor și a construcțiilor principale ale persoanelor fizice care nu desfășoară activitate de întreprinzător, înregistrate cu drept de proprietate, depășește 100 m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inclusiv, cotele concrete stabilite ale impozitului pe bunurile imobiliare se majorează în funcție de suprafața totală, după cum urmează:</w:t>
            </w:r>
          </w:p>
          <w:p w14:paraId="407FA490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- de la 100 la 150 m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inclusiv – de 1,5 ori;</w:t>
            </w:r>
          </w:p>
          <w:p w14:paraId="7BD900F3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- de la 150 la 200 m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inclusiv – de 2 ori;</w:t>
            </w:r>
          </w:p>
          <w:p w14:paraId="4F0665E9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- de la 200 la 300 m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inclusiv – de 10 ori;</w:t>
            </w:r>
          </w:p>
          <w:p w14:paraId="43806A65" w14:textId="77777777" w:rsidR="0045269F" w:rsidRPr="00E115AC" w:rsidRDefault="0045269F" w:rsidP="00E115A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- peste 300 m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– de 15 ori.</w:t>
            </w: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307E7ADC" w14:textId="77777777" w:rsidR="0045269F" w:rsidRPr="00E115AC" w:rsidRDefault="0045269F" w:rsidP="00E115AC">
            <w:pPr>
              <w:spacing w:after="0" w:line="256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Construcție principală – construcție înregistrată cu drept de proprietate a persoanei fizice, care are destinație de locuință </w:t>
            </w:r>
            <w:proofErr w:type="spellStart"/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E115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nu este antrenată în activitatea de întreprinzător.</w:t>
            </w:r>
          </w:p>
        </w:tc>
      </w:tr>
    </w:tbl>
    <w:p w14:paraId="408E0903" w14:textId="77777777" w:rsidR="00E115AC" w:rsidRDefault="00E115AC" w:rsidP="00452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14:paraId="23FC9A53" w14:textId="77777777" w:rsidR="00B83201" w:rsidRPr="00E115AC" w:rsidRDefault="002B609F" w:rsidP="002B609F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Secretarul Consiliului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ab/>
        <w:t xml:space="preserve">Petcu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Alla</w:t>
      </w:r>
      <w:proofErr w:type="spellEnd"/>
    </w:p>
    <w:sectPr w:rsidR="00B83201" w:rsidRPr="00E115AC" w:rsidSect="002B609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4FFCA" w14:textId="77777777" w:rsidR="009A1D5B" w:rsidRDefault="009A1D5B" w:rsidP="0045269F">
      <w:pPr>
        <w:spacing w:after="0" w:line="240" w:lineRule="auto"/>
      </w:pPr>
      <w:r>
        <w:separator/>
      </w:r>
    </w:p>
  </w:endnote>
  <w:endnote w:type="continuationSeparator" w:id="0">
    <w:p w14:paraId="03785A01" w14:textId="77777777" w:rsidR="009A1D5B" w:rsidRDefault="009A1D5B" w:rsidP="0045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B0CC" w14:textId="77777777" w:rsidR="009A1D5B" w:rsidRDefault="009A1D5B" w:rsidP="0045269F">
      <w:pPr>
        <w:spacing w:after="0" w:line="240" w:lineRule="auto"/>
      </w:pPr>
      <w:r>
        <w:separator/>
      </w:r>
    </w:p>
  </w:footnote>
  <w:footnote w:type="continuationSeparator" w:id="0">
    <w:p w14:paraId="603D3641" w14:textId="77777777" w:rsidR="009A1D5B" w:rsidRDefault="009A1D5B" w:rsidP="0045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278F6"/>
    <w:multiLevelType w:val="hybridMultilevel"/>
    <w:tmpl w:val="56B4B224"/>
    <w:lvl w:ilvl="0" w:tplc="94FE60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2AC8"/>
    <w:multiLevelType w:val="multilevel"/>
    <w:tmpl w:val="01FA1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01"/>
    <w:rsid w:val="000003A5"/>
    <w:rsid w:val="00042E15"/>
    <w:rsid w:val="00057ED5"/>
    <w:rsid w:val="00075C7D"/>
    <w:rsid w:val="001A38DD"/>
    <w:rsid w:val="001C2055"/>
    <w:rsid w:val="0024269C"/>
    <w:rsid w:val="0025068C"/>
    <w:rsid w:val="002A3F2E"/>
    <w:rsid w:val="002B609F"/>
    <w:rsid w:val="00302786"/>
    <w:rsid w:val="00332A63"/>
    <w:rsid w:val="004201D7"/>
    <w:rsid w:val="00445D2B"/>
    <w:rsid w:val="0045269F"/>
    <w:rsid w:val="004A18E3"/>
    <w:rsid w:val="004B326A"/>
    <w:rsid w:val="004C1EED"/>
    <w:rsid w:val="004E532D"/>
    <w:rsid w:val="006472AF"/>
    <w:rsid w:val="00652526"/>
    <w:rsid w:val="0071211B"/>
    <w:rsid w:val="00751D5B"/>
    <w:rsid w:val="0075230D"/>
    <w:rsid w:val="007F1D90"/>
    <w:rsid w:val="007F578C"/>
    <w:rsid w:val="00837DCC"/>
    <w:rsid w:val="008B0F66"/>
    <w:rsid w:val="00986600"/>
    <w:rsid w:val="009A1D5B"/>
    <w:rsid w:val="009A5768"/>
    <w:rsid w:val="00AE0524"/>
    <w:rsid w:val="00B1189B"/>
    <w:rsid w:val="00B2326C"/>
    <w:rsid w:val="00B83201"/>
    <w:rsid w:val="00BA5D6F"/>
    <w:rsid w:val="00C4202F"/>
    <w:rsid w:val="00C717E5"/>
    <w:rsid w:val="00CC6A5F"/>
    <w:rsid w:val="00D21232"/>
    <w:rsid w:val="00E115AC"/>
    <w:rsid w:val="00E2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487A"/>
  <w15:docId w15:val="{B48D907C-EF1C-4F44-B287-F69CB8B9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6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66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269F"/>
  </w:style>
  <w:style w:type="paragraph" w:styleId="a8">
    <w:name w:val="footer"/>
    <w:basedOn w:val="a"/>
    <w:link w:val="a9"/>
    <w:uiPriority w:val="99"/>
    <w:unhideWhenUsed/>
    <w:rsid w:val="0045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269F"/>
  </w:style>
  <w:style w:type="character" w:styleId="aa">
    <w:name w:val="Hyperlink"/>
    <w:basedOn w:val="a0"/>
    <w:uiPriority w:val="99"/>
    <w:unhideWhenUsed/>
    <w:rsid w:val="004A18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epsoci.comuna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stepsoc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1830-41A4-46E1-B681-44F7C7F0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2020-12-11T09:25:00Z</cp:lastPrinted>
  <dcterms:created xsi:type="dcterms:W3CDTF">2021-12-09T06:57:00Z</dcterms:created>
  <dcterms:modified xsi:type="dcterms:W3CDTF">2021-12-09T06:57:00Z</dcterms:modified>
</cp:coreProperties>
</file>